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仿宋" w:eastAsia="仿宋_GB2312" w:cs="宋体"/>
          <w:kern w:val="0"/>
          <w:sz w:val="36"/>
          <w:szCs w:val="36"/>
          <w:highlight w:val="none"/>
        </w:rPr>
      </w:pPr>
      <w:r>
        <w:rPr>
          <w:rFonts w:hint="eastAsia" w:ascii="楷体_GB2312" w:hAnsi="楷体_GB2312" w:eastAsia="楷体_GB2312" w:cs="楷体_GB2312"/>
          <w:b/>
          <w:kern w:val="0"/>
          <w:sz w:val="36"/>
          <w:szCs w:val="36"/>
          <w:highlight w:val="none"/>
        </w:rPr>
        <w:t>附件</w:t>
      </w:r>
    </w:p>
    <w:p>
      <w:pPr>
        <w:keepNext w:val="0"/>
        <w:keepLines w:val="0"/>
        <w:pageBreakBefore w:val="0"/>
        <w:widowControl w:val="0"/>
        <w:kinsoku/>
        <w:wordWrap/>
        <w:overflowPunct/>
        <w:topLinePunct w:val="0"/>
        <w:autoSpaceDE/>
        <w:autoSpaceDN/>
        <w:bidi w:val="0"/>
        <w:spacing w:line="630" w:lineRule="exact"/>
        <w:ind w:firstLine="883" w:firstLineChars="200"/>
        <w:jc w:val="center"/>
        <w:textAlignment w:val="auto"/>
        <w:rPr>
          <w:rFonts w:ascii="宋体" w:hAnsi="宋体"/>
          <w:b/>
          <w:sz w:val="44"/>
          <w:szCs w:val="44"/>
          <w:highlight w:val="none"/>
        </w:rPr>
      </w:pPr>
      <w:r>
        <w:rPr>
          <w:rFonts w:hint="eastAsia" w:ascii="宋体" w:hAnsi="宋体" w:cs="宋体"/>
          <w:b/>
          <w:kern w:val="0"/>
          <w:sz w:val="44"/>
          <w:szCs w:val="44"/>
          <w:highlight w:val="none"/>
        </w:rPr>
        <w:t>高层次创新人才</w:t>
      </w:r>
      <w:r>
        <w:rPr>
          <w:rFonts w:hint="eastAsia" w:ascii="宋体" w:hAnsi="宋体"/>
          <w:b/>
          <w:sz w:val="44"/>
          <w:szCs w:val="44"/>
          <w:highlight w:val="none"/>
        </w:rPr>
        <w:t>认定条件</w:t>
      </w:r>
    </w:p>
    <w:p>
      <w:pPr>
        <w:keepNext w:val="0"/>
        <w:keepLines w:val="0"/>
        <w:pageBreakBefore w:val="0"/>
        <w:widowControl w:val="0"/>
        <w:kinsoku/>
        <w:wordWrap/>
        <w:overflowPunct/>
        <w:topLinePunct w:val="0"/>
        <w:autoSpaceDE/>
        <w:autoSpaceDN/>
        <w:bidi w:val="0"/>
        <w:adjustRightInd/>
        <w:spacing w:line="630" w:lineRule="exact"/>
        <w:ind w:firstLine="752" w:firstLineChars="200"/>
        <w:textAlignment w:val="auto"/>
        <w:rPr>
          <w:rFonts w:hint="eastAsia" w:ascii="仿宋_GB2312" w:hAnsi="仿宋_GB2312" w:eastAsia="仿宋_GB2312" w:cs="仿宋_GB2312"/>
          <w:spacing w:val="8"/>
          <w:sz w:val="36"/>
          <w:szCs w:val="36"/>
          <w:highlight w:val="none"/>
        </w:rPr>
      </w:pP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1.诺贝尔奖获得者。</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2.中国国家最高科学技术奖；图灵奖、菲尔兹奖、普利兹奖、邵逸夫奖等国际著名奖项获得者。</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3.中国科学院院士、中国工程院院士。</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4.中国社会科学院学部委员、荣誉学部委员。</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5.美国、日本等科技发达国家科学院院士、工程院院士。</w:t>
      </w:r>
    </w:p>
    <w:p>
      <w:pPr>
        <w:keepNext w:val="0"/>
        <w:keepLines w:val="0"/>
        <w:pageBreakBefore w:val="0"/>
        <w:widowControl w:val="0"/>
        <w:kinsoku/>
        <w:wordWrap/>
        <w:overflowPunct/>
        <w:topLinePunct w:val="0"/>
        <w:autoSpaceDE/>
        <w:autoSpaceDN/>
        <w:bidi w:val="0"/>
        <w:snapToGrid w:val="0"/>
        <w:spacing w:line="560" w:lineRule="exact"/>
        <w:ind w:firstLine="630"/>
        <w:textAlignment w:val="auto"/>
        <w:rPr>
          <w:rFonts w:ascii="仿宋_GB2312" w:hAnsi="楷体" w:eastAsia="仿宋_GB2312" w:cs="楷体"/>
          <w:spacing w:val="8"/>
          <w:sz w:val="32"/>
          <w:szCs w:val="32"/>
          <w:highlight w:val="none"/>
        </w:rPr>
      </w:pPr>
      <w:r>
        <w:rPr>
          <w:rFonts w:hint="eastAsia" w:ascii="仿宋_GB2312" w:hAnsi="楷体" w:eastAsia="仿宋_GB2312" w:cs="楷体"/>
          <w:spacing w:val="8"/>
          <w:sz w:val="32"/>
          <w:szCs w:val="32"/>
          <w:highlight w:val="none"/>
          <w:lang w:val="en-US" w:eastAsia="zh-CN"/>
        </w:rPr>
        <w:t>6</w:t>
      </w:r>
      <w:r>
        <w:rPr>
          <w:rFonts w:hint="eastAsia" w:ascii="仿宋_GB2312" w:hAnsi="楷体" w:eastAsia="仿宋_GB2312" w:cs="楷体"/>
          <w:spacing w:val="8"/>
          <w:sz w:val="32"/>
          <w:szCs w:val="32"/>
          <w:highlight w:val="none"/>
        </w:rPr>
        <w:t>.以下人才计划入选者：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国家级重大引才计划顶尖人才和创新团队项目入选者、国家级重大引才计划创新人才项目入选者、高层次外国专家项目入选者、青年计划项目入选者</w:t>
      </w:r>
      <w:r>
        <w:rPr>
          <w:rFonts w:hint="eastAsia" w:ascii="仿宋_GB2312" w:hAnsi="仿宋_GB2312" w:eastAsia="仿宋_GB2312" w:cs="仿宋_GB2312"/>
          <w:spacing w:val="8"/>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国家“万人计划”杰出人才、领军人才、青年拔尖人才；“新世纪百千万人才工程”国家级人选；国家杰出青年科学基金项目</w:t>
      </w:r>
      <w:r>
        <w:rPr>
          <w:rFonts w:hint="eastAsia" w:ascii="仿宋_GB2312" w:hAnsi="仿宋_GB2312" w:eastAsia="仿宋_GB2312" w:cs="仿宋_GB2312"/>
          <w:sz w:val="32"/>
          <w:szCs w:val="32"/>
          <w:highlight w:val="none"/>
          <w:lang w:eastAsia="zh-CN"/>
        </w:rPr>
        <w:t>负责人</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pacing w:line="560" w:lineRule="exact"/>
        <w:ind w:firstLine="672" w:firstLineChars="200"/>
        <w:textAlignment w:val="auto"/>
        <w:rPr>
          <w:rFonts w:ascii="Times New Roman" w:hAnsi="Times New Roman" w:eastAsia="方正仿宋"/>
          <w:sz w:val="32"/>
          <w:szCs w:val="32"/>
          <w:highlight w:val="none"/>
        </w:rPr>
      </w:pP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国家自然科学基金优秀青年科学基金项目</w:t>
      </w:r>
      <w:r>
        <w:rPr>
          <w:rFonts w:hint="eastAsia" w:ascii="仿宋_GB2312" w:hAnsi="仿宋_GB2312" w:eastAsia="仿宋_GB2312" w:cs="仿宋_GB2312"/>
          <w:spacing w:val="8"/>
          <w:sz w:val="32"/>
          <w:szCs w:val="32"/>
          <w:highlight w:val="none"/>
          <w:lang w:eastAsia="zh-CN"/>
        </w:rPr>
        <w:t>负责</w:t>
      </w:r>
      <w:r>
        <w:rPr>
          <w:rFonts w:hint="eastAsia" w:ascii="仿宋_GB2312" w:hAnsi="仿宋_GB2312" w:eastAsia="仿宋_GB2312" w:cs="仿宋_GB2312"/>
          <w:spacing w:val="8"/>
          <w:sz w:val="32"/>
          <w:szCs w:val="32"/>
          <w:highlight w:val="none"/>
        </w:rPr>
        <w:t>人；长江学者奖励计划</w:t>
      </w:r>
      <w:r>
        <w:rPr>
          <w:rFonts w:hint="eastAsia" w:ascii="仿宋_GB2312" w:hAnsi="仿宋_GB2312" w:eastAsia="仿宋_GB2312" w:cs="仿宋_GB2312"/>
          <w:sz w:val="32"/>
          <w:szCs w:val="32"/>
          <w:highlight w:val="none"/>
        </w:rPr>
        <w:t>特聘教授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pacing w:val="8"/>
          <w:sz w:val="32"/>
          <w:szCs w:val="32"/>
          <w:highlight w:val="none"/>
        </w:rPr>
        <w:t>青年长江学者；中科院“百人计划”；科技部“创新人才推进计划”；“闽江学者”特聘教授。</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4</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福建省高层次人才认定（2020年版）特级人才入选者。</w:t>
      </w:r>
    </w:p>
    <w:p>
      <w:pPr>
        <w:keepNext w:val="0"/>
        <w:keepLines w:val="0"/>
        <w:pageBreakBefore w:val="0"/>
        <w:widowControl w:val="0"/>
        <w:kinsoku/>
        <w:wordWrap/>
        <w:overflowPunct/>
        <w:topLinePunct w:val="0"/>
        <w:autoSpaceDE/>
        <w:autoSpaceDN/>
        <w:bidi w:val="0"/>
        <w:snapToGrid w:val="0"/>
        <w:spacing w:line="560" w:lineRule="exact"/>
        <w:ind w:firstLine="630"/>
        <w:textAlignment w:val="auto"/>
        <w:rPr>
          <w:rFonts w:hint="eastAsia" w:ascii="仿宋_GB2312" w:hAnsi="楷体" w:eastAsia="仿宋_GB2312" w:cs="楷体"/>
          <w:spacing w:val="8"/>
          <w:sz w:val="32"/>
          <w:szCs w:val="32"/>
          <w:highlight w:val="none"/>
        </w:rPr>
      </w:pPr>
      <w:r>
        <w:rPr>
          <w:rFonts w:hint="eastAsia" w:ascii="仿宋_GB2312" w:hAnsi="楷体" w:eastAsia="仿宋_GB2312" w:cs="楷体"/>
          <w:spacing w:val="8"/>
          <w:sz w:val="32"/>
          <w:szCs w:val="32"/>
          <w:highlight w:val="none"/>
          <w:lang w:val="en-US" w:eastAsia="zh-CN"/>
        </w:rPr>
        <w:t>7</w:t>
      </w:r>
      <w:r>
        <w:rPr>
          <w:rFonts w:hint="eastAsia" w:ascii="仿宋_GB2312" w:hAnsi="楷体" w:eastAsia="仿宋_GB2312" w:cs="楷体"/>
          <w:spacing w:val="8"/>
          <w:sz w:val="32"/>
          <w:szCs w:val="32"/>
          <w:highlight w:val="none"/>
        </w:rPr>
        <w:t>.以下奖项获得者：</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）中国青年科技奖、青年科学家奖获得者、中国青年女科学家奖获得者；国家有突出贡献的中青年专家；国务院学位委员会学科评议组成员；中国政府友谊奖获得者。</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（2）全国教育科学研究优秀成果奖一等奖</w:t>
      </w:r>
      <w:r>
        <w:rPr>
          <w:rFonts w:hint="eastAsia" w:ascii="仿宋_GB2312" w:hAnsi="仿宋_GB2312" w:eastAsia="仿宋_GB2312" w:cs="仿宋_GB2312"/>
          <w:spacing w:val="8"/>
          <w:sz w:val="32"/>
          <w:szCs w:val="32"/>
          <w:highlight w:val="none"/>
          <w:lang w:eastAsia="zh-CN"/>
        </w:rPr>
        <w:t>、二等奖</w:t>
      </w:r>
      <w:r>
        <w:rPr>
          <w:rFonts w:hint="eastAsia" w:ascii="仿宋_GB2312" w:hAnsi="仿宋_GB2312" w:eastAsia="仿宋_GB2312" w:cs="仿宋_GB2312"/>
          <w:spacing w:val="8"/>
          <w:sz w:val="32"/>
          <w:szCs w:val="32"/>
          <w:highlight w:val="none"/>
        </w:rPr>
        <w:t>；中宣部文化名家暨“四个一批”人才；国医大师、岐黄学者；全国名中医；中华技能大奖获得者、全国杰出专业技术人才；梁思成奖获得者。</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（3）国家自然科学奖、国家技术发明奖一等奖</w:t>
      </w:r>
      <w:r>
        <w:rPr>
          <w:rFonts w:hint="eastAsia" w:ascii="仿宋_GB2312" w:hAnsi="仿宋_GB2312" w:eastAsia="仿宋_GB2312" w:cs="仿宋_GB2312"/>
          <w:spacing w:val="8"/>
          <w:sz w:val="32"/>
          <w:szCs w:val="32"/>
          <w:highlight w:val="none"/>
          <w:lang w:eastAsia="zh-CN"/>
        </w:rPr>
        <w:t>、二等奖</w:t>
      </w:r>
      <w:r>
        <w:rPr>
          <w:rFonts w:hint="eastAsia" w:ascii="仿宋_GB2312" w:hAnsi="仿宋_GB2312" w:eastAsia="仿宋_GB2312" w:cs="仿宋_GB2312"/>
          <w:spacing w:val="8"/>
          <w:sz w:val="32"/>
          <w:szCs w:val="32"/>
          <w:highlight w:val="none"/>
        </w:rPr>
        <w:t>获得者（前3位完成人）</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国家科技进步奖特等奖获得者（前5位完成人）</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一等奖获得者（前3位完成人）；国家级教学成果奖特等奖</w:t>
      </w:r>
      <w:r>
        <w:rPr>
          <w:rFonts w:hint="eastAsia" w:ascii="仿宋_GB2312" w:hAnsi="仿宋_GB2312" w:eastAsia="仿宋_GB2312" w:cs="仿宋_GB2312"/>
          <w:spacing w:val="8"/>
          <w:sz w:val="32"/>
          <w:szCs w:val="32"/>
          <w:highlight w:val="none"/>
          <w:lang w:eastAsia="zh-CN"/>
        </w:rPr>
        <w:t>、一等奖</w:t>
      </w:r>
      <w:r>
        <w:rPr>
          <w:rFonts w:hint="eastAsia" w:ascii="仿宋_GB2312" w:hAnsi="仿宋_GB2312" w:eastAsia="仿宋_GB2312" w:cs="仿宋_GB2312"/>
          <w:spacing w:val="8"/>
          <w:sz w:val="32"/>
          <w:szCs w:val="32"/>
          <w:highlight w:val="none"/>
        </w:rPr>
        <w:t>获得者（前3位完成人）；中国专利金奖前2名；福建省科学技术重大贡献奖</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省级自然科学奖、技术发明奖一等奖第一完成人，省级科技进步奖特等奖前3名。</w:t>
      </w:r>
    </w:p>
    <w:p>
      <w:pPr>
        <w:keepNext w:val="0"/>
        <w:keepLines w:val="0"/>
        <w:pageBreakBefore w:val="0"/>
        <w:widowControl w:val="0"/>
        <w:kinsoku/>
        <w:wordWrap/>
        <w:overflowPunct/>
        <w:topLinePunct w:val="0"/>
        <w:autoSpaceDE/>
        <w:autoSpaceDN/>
        <w:bidi w:val="0"/>
        <w:snapToGrid w:val="0"/>
        <w:spacing w:line="560" w:lineRule="exact"/>
        <w:ind w:firstLine="630"/>
        <w:textAlignment w:val="auto"/>
        <w:rPr>
          <w:rFonts w:ascii="仿宋_GB2312" w:hAnsi="楷体" w:eastAsia="仿宋_GB2312" w:cs="楷体"/>
          <w:spacing w:val="8"/>
          <w:sz w:val="32"/>
          <w:szCs w:val="32"/>
          <w:highlight w:val="none"/>
        </w:rPr>
      </w:pPr>
      <w:r>
        <w:rPr>
          <w:rFonts w:hint="eastAsia" w:ascii="仿宋_GB2312" w:hAnsi="楷体" w:eastAsia="仿宋_GB2312" w:cs="楷体"/>
          <w:spacing w:val="8"/>
          <w:sz w:val="32"/>
          <w:szCs w:val="32"/>
          <w:highlight w:val="none"/>
          <w:lang w:val="en-US" w:eastAsia="zh-CN"/>
        </w:rPr>
        <w:t>8</w:t>
      </w:r>
      <w:r>
        <w:rPr>
          <w:rFonts w:hint="eastAsia" w:ascii="仿宋_GB2312" w:hAnsi="楷体" w:eastAsia="仿宋_GB2312" w:cs="楷体"/>
          <w:spacing w:val="8"/>
          <w:sz w:val="32"/>
          <w:szCs w:val="32"/>
          <w:highlight w:val="none"/>
        </w:rPr>
        <w:t>.近5年，担任过以下职务者：</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sz w:val="32"/>
          <w:szCs w:val="32"/>
          <w:highlight w:val="none"/>
        </w:rPr>
      </w:pPr>
      <w:r>
        <w:rPr>
          <w:rFonts w:hint="eastAsia" w:ascii="仿宋_GB2312" w:hAnsi="仿宋_GB2312" w:eastAsia="仿宋_GB2312" w:cs="仿宋_GB2312"/>
          <w:spacing w:val="8"/>
          <w:sz w:val="32"/>
          <w:szCs w:val="32"/>
          <w:highlight w:val="none"/>
        </w:rPr>
        <w:t>（1）国家重点实验室主任、学术委员会主任</w:t>
      </w:r>
      <w:r>
        <w:rPr>
          <w:rFonts w:hint="eastAsia" w:ascii="仿宋_GB2312" w:hAnsi="仿宋_GB2312" w:eastAsia="仿宋_GB2312" w:cs="仿宋_GB2312"/>
          <w:spacing w:val="8"/>
          <w:sz w:val="32"/>
          <w:szCs w:val="32"/>
          <w:highlight w:val="none"/>
          <w:lang w:eastAsia="zh-CN"/>
        </w:rPr>
        <w:t>、副主任</w:t>
      </w:r>
      <w:r>
        <w:rPr>
          <w:rFonts w:hint="eastAsia" w:ascii="仿宋_GB2312" w:hAnsi="仿宋_GB2312" w:eastAsia="仿宋_GB2312" w:cs="仿宋_GB2312"/>
          <w:spacing w:val="8"/>
          <w:sz w:val="32"/>
          <w:szCs w:val="32"/>
          <w:highlight w:val="none"/>
        </w:rPr>
        <w:t>前2名；国家技术创新中心、国家制造业创新中心、国家产业创新中心、国家工程研究中心（实验室）、国家工程技术研究中心、国家能源研发（实验）中心主任</w:t>
      </w:r>
      <w:r>
        <w:rPr>
          <w:rFonts w:hint="eastAsia" w:ascii="仿宋_GB2312" w:hAnsi="仿宋_GB2312" w:eastAsia="仿宋_GB2312" w:cs="仿宋_GB2312"/>
          <w:spacing w:val="8"/>
          <w:sz w:val="32"/>
          <w:szCs w:val="32"/>
          <w:highlight w:val="none"/>
          <w:lang w:eastAsia="zh-CN"/>
        </w:rPr>
        <w:t>、副主任</w:t>
      </w:r>
      <w:r>
        <w:rPr>
          <w:rFonts w:hint="eastAsia" w:ascii="仿宋_GB2312" w:hAnsi="仿宋_GB2312" w:eastAsia="仿宋_GB2312" w:cs="仿宋_GB2312"/>
          <w:spacing w:val="8"/>
          <w:sz w:val="32"/>
          <w:szCs w:val="32"/>
          <w:highlight w:val="none"/>
        </w:rPr>
        <w:t>前2名</w:t>
      </w:r>
      <w:r>
        <w:rPr>
          <w:rFonts w:hint="eastAsia" w:ascii="仿宋_GB2312" w:hAnsi="仿宋_GB2312" w:eastAsia="仿宋_GB2312" w:cs="仿宋_GB2312"/>
          <w:spacing w:val="8"/>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（2）国家科技重大专项、国家重点研发计划项目负责人；原国家“973计划”项目首席科学家课题组第一负责人，且课题通过结题验收；原国家“863计划”</w:t>
      </w:r>
      <w:r>
        <w:rPr>
          <w:rFonts w:hint="eastAsia" w:ascii="仿宋_GB2312" w:hAnsi="仿宋_GB2312" w:eastAsia="仿宋_GB2312" w:cs="仿宋_GB2312"/>
          <w:spacing w:val="8"/>
          <w:sz w:val="32"/>
          <w:szCs w:val="32"/>
          <w:highlight w:val="none"/>
          <w:lang w:eastAsia="zh-CN"/>
        </w:rPr>
        <w:t>项目首席科学家、课题负责人，</w:t>
      </w:r>
      <w:r>
        <w:rPr>
          <w:rFonts w:hint="eastAsia" w:ascii="仿宋_GB2312" w:hAnsi="仿宋_GB2312" w:eastAsia="仿宋_GB2312" w:cs="仿宋_GB2312"/>
          <w:spacing w:val="8"/>
          <w:sz w:val="32"/>
          <w:szCs w:val="32"/>
          <w:highlight w:val="none"/>
        </w:rPr>
        <w:t>且专题通过结题验收；国家社会科学基金重大项目首席专家</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项目优秀成果负责人</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国家科技支撑计划项目课题组负责人，且课题通过结题验收。</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（3）中华医学会、中华中医药学会、中国中西医结合学会、中华护理学会、中华预防医学会、中国医师协会等专科委员会（一级和二级专科）主任委员、副主任委员</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省级医学会、中医药学会、中西医结合学会、护理学会、预防医学会、医师协会等专科委员会（一级专科）主任委员、副主任委员。</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w:t>
      </w:r>
      <w:r>
        <w:rPr>
          <w:rFonts w:hint="eastAsia" w:ascii="仿宋_GB2312" w:hAnsi="仿宋_GB2312" w:eastAsia="仿宋_GB2312" w:cs="仿宋_GB2312"/>
          <w:spacing w:val="8"/>
          <w:sz w:val="32"/>
          <w:szCs w:val="32"/>
          <w:highlight w:val="none"/>
          <w:lang w:val="en-US" w:eastAsia="zh-CN"/>
        </w:rPr>
        <w:t>4</w:t>
      </w:r>
      <w:r>
        <w:rPr>
          <w:rFonts w:hint="eastAsia" w:ascii="仿宋_GB2312" w:hAnsi="仿宋_GB2312" w:eastAsia="仿宋_GB2312" w:cs="仿宋_GB2312"/>
          <w:spacing w:val="8"/>
          <w:sz w:val="32"/>
          <w:szCs w:val="32"/>
          <w:highlight w:val="none"/>
        </w:rPr>
        <w:t>）担任过国际知名三大世界大学排名（见附录第</w:t>
      </w:r>
      <w:r>
        <w:rPr>
          <w:rFonts w:hint="eastAsia" w:ascii="仿宋_GB2312" w:hAnsi="仿宋_GB2312" w:eastAsia="仿宋_GB2312" w:cs="仿宋_GB2312"/>
          <w:spacing w:val="8"/>
          <w:sz w:val="32"/>
          <w:szCs w:val="32"/>
          <w:highlight w:val="none"/>
          <w:lang w:val="en-US" w:eastAsia="zh-CN"/>
        </w:rPr>
        <w:t>1</w:t>
      </w:r>
      <w:r>
        <w:rPr>
          <w:rFonts w:hint="eastAsia" w:ascii="仿宋_GB2312" w:hAnsi="仿宋_GB2312" w:eastAsia="仿宋_GB2312" w:cs="仿宋_GB2312"/>
          <w:spacing w:val="8"/>
          <w:sz w:val="32"/>
          <w:szCs w:val="32"/>
          <w:highlight w:val="none"/>
        </w:rPr>
        <w:t>条）最新同时排前200名大学的学院院长，或教授1年以上，或副教授3年以上。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）中国企业100强（见附录第</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条）企业总部的董事长、总裁（首席执行官）、首席技术官、董事会成员，控股二级公司董事长、总裁（首席执行官）、首席技术官1年以上。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）世界500强企业（见附录第</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条）总部首席执行官、首席运营官、首席技术官、董事会成员，集团公司中层正职及控股二级公司主要负责人、集团公司技术研发和管理团队核心成员（注：本条仅限引进人才；所在企业入选过世界500强即可，不一定为申报人在职期间入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）年营业收入30亿元以上，或市值100亿元以上或年税收5000万元以上的企业高管相当技术岗位1年以上。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拥有国际发明专利或核心技术国内发明专利，或掌握核心竞争力、形成有独创性领先性的商业模式，年销售额1亿元人民币以上或年纳税额500万元人民币以上，近3年内企业成长性年平均100%以上的企业董事长、总经理或首席技术专家（注：企业成长性以销售收入、纳税额等为依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 w:eastAsia="楷体_GB2312" w:cs="楷体"/>
          <w:sz w:val="32"/>
          <w:szCs w:val="32"/>
          <w:highlight w:val="none"/>
          <w:lang w:val="en-US" w:eastAsia="zh-CN"/>
        </w:rPr>
        <w:t>（9）</w:t>
      </w:r>
      <w:r>
        <w:rPr>
          <w:rFonts w:hint="eastAsia" w:ascii="仿宋_GB2312" w:hAnsi="仿宋_GB2312" w:eastAsia="仿宋_GB2312" w:cs="仿宋_GB2312"/>
          <w:sz w:val="32"/>
          <w:szCs w:val="32"/>
          <w:highlight w:val="none"/>
        </w:rPr>
        <w:t>独角兽企业创始人（每个企业限2人）；厦门市经“一事一议”给予重大支持的顶尖人才和团队负责人（团队限2人）。</w:t>
      </w:r>
    </w:p>
    <w:p>
      <w:pPr>
        <w:keepNext w:val="0"/>
        <w:keepLines w:val="0"/>
        <w:pageBreakBefore w:val="0"/>
        <w:widowControl w:val="0"/>
        <w:kinsoku/>
        <w:wordWrap/>
        <w:overflowPunct/>
        <w:topLinePunct w:val="0"/>
        <w:autoSpaceDE/>
        <w:autoSpaceDN/>
        <w:bidi w:val="0"/>
        <w:spacing w:line="560" w:lineRule="exact"/>
        <w:ind w:firstLine="672" w:firstLineChars="200"/>
        <w:textAlignment w:val="auto"/>
        <w:rPr>
          <w:rFonts w:hint="eastAsia" w:ascii="仿宋_GB2312" w:hAnsi="仿宋_GB2312" w:eastAsia="宋体" w:cs="仿宋_GB2312"/>
          <w:spacing w:val="8"/>
          <w:sz w:val="32"/>
          <w:szCs w:val="32"/>
          <w:highlight w:val="none"/>
          <w:lang w:eastAsia="zh-CN"/>
        </w:rPr>
      </w:pPr>
      <w:r>
        <w:rPr>
          <w:rFonts w:hint="eastAsia" w:ascii="仿宋_GB2312" w:hAnsi="仿宋_GB2312" w:eastAsia="仿宋_GB2312" w:cs="仿宋_GB2312"/>
          <w:bCs/>
          <w:spacing w:val="8"/>
          <w:sz w:val="32"/>
          <w:szCs w:val="32"/>
          <w:highlight w:val="none"/>
          <w:lang w:val="en-US" w:eastAsia="zh-CN"/>
        </w:rPr>
        <w:t>（10）</w:t>
      </w:r>
      <w:r>
        <w:rPr>
          <w:rFonts w:hint="eastAsia" w:ascii="仿宋_GB2312" w:hAnsi="仿宋_GB2312" w:eastAsia="仿宋_GB2312" w:cs="仿宋_GB2312"/>
          <w:spacing w:val="8"/>
          <w:sz w:val="32"/>
          <w:szCs w:val="32"/>
          <w:highlight w:val="none"/>
        </w:rPr>
        <w:t>名列清科中国创业投资机构年度排行榜、投中中国最佳创业投资机构年度排行榜前20名机构的核心投资决策团队主要负责人。</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bCs/>
          <w:spacing w:val="8"/>
          <w:sz w:val="32"/>
          <w:szCs w:val="32"/>
          <w:highlight w:val="none"/>
          <w:lang w:val="en-US" w:eastAsia="zh-CN"/>
        </w:rPr>
        <w:t>9</w:t>
      </w:r>
      <w:r>
        <w:rPr>
          <w:rFonts w:hint="eastAsia" w:ascii="仿宋_GB2312" w:hAnsi="仿宋_GB2312" w:eastAsia="仿宋_GB2312" w:cs="仿宋_GB2312"/>
          <w:bCs/>
          <w:spacing w:val="8"/>
          <w:sz w:val="32"/>
          <w:szCs w:val="32"/>
          <w:highlight w:val="none"/>
        </w:rPr>
        <w:t>.</w:t>
      </w:r>
      <w:r>
        <w:rPr>
          <w:rFonts w:hint="eastAsia" w:ascii="仿宋_GB2312" w:hAnsi="仿宋_GB2312" w:eastAsia="仿宋_GB2312" w:cs="仿宋_GB2312"/>
          <w:spacing w:val="8"/>
          <w:sz w:val="32"/>
          <w:szCs w:val="32"/>
          <w:highlight w:val="none"/>
        </w:rPr>
        <w:t>经市</w:t>
      </w:r>
      <w:r>
        <w:rPr>
          <w:rFonts w:hint="eastAsia" w:ascii="仿宋_GB2312" w:hAnsi="仿宋_GB2312" w:eastAsia="仿宋_GB2312" w:cs="仿宋_GB2312"/>
          <w:spacing w:val="8"/>
          <w:sz w:val="32"/>
          <w:szCs w:val="32"/>
          <w:highlight w:val="none"/>
          <w:lang w:eastAsia="zh-CN"/>
        </w:rPr>
        <w:t>高层次人才引进专项办</w:t>
      </w:r>
      <w:r>
        <w:rPr>
          <w:rFonts w:hint="eastAsia" w:ascii="仿宋_GB2312" w:hAnsi="仿宋_GB2312" w:eastAsia="仿宋_GB2312" w:cs="仿宋_GB2312"/>
          <w:spacing w:val="8"/>
          <w:sz w:val="32"/>
          <w:szCs w:val="32"/>
          <w:highlight w:val="none"/>
        </w:rPr>
        <w:t>按程序研究确认，相当于上述层次类别的人才。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sz w:val="32"/>
          <w:szCs w:val="32"/>
          <w:highlight w:val="none"/>
          <w:lang w:eastAsia="zh-CN"/>
        </w:rPr>
      </w:pPr>
      <w:r>
        <w:rPr>
          <w:rFonts w:hint="eastAsia" w:ascii="楷体_GB2312" w:hAnsi="楷体_GB2312" w:eastAsia="楷体_GB2312" w:cs="楷体_GB2312"/>
          <w:b/>
          <w:sz w:val="32"/>
          <w:szCs w:val="32"/>
          <w:highlight w:val="none"/>
          <w:lang w:eastAsia="zh-CN"/>
        </w:rPr>
        <w:t>附录：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世界500强企业以美国《财富》杂志最新评选的全球最大500家公司入选名单为准。中国企业100强以中国企业联合会最新公布入选名单为准。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第</w:t>
      </w:r>
      <w:r>
        <w:rPr>
          <w:rFonts w:hint="eastAsia" w:ascii="楷体_GB2312" w:hAnsi="楷体_GB2312" w:eastAsia="楷体_GB2312" w:cs="楷体_GB2312"/>
          <w:sz w:val="32"/>
          <w:szCs w:val="32"/>
          <w:highlight w:val="none"/>
          <w:lang w:val="en-US" w:eastAsia="zh-CN"/>
        </w:rPr>
        <w:t>8条第4款</w:t>
      </w:r>
      <w:r>
        <w:rPr>
          <w:rFonts w:hint="eastAsia" w:ascii="楷体_GB2312" w:hAnsi="楷体_GB2312" w:eastAsia="楷体_GB2312" w:cs="楷体_GB2312"/>
          <w:sz w:val="32"/>
          <w:szCs w:val="32"/>
          <w:highlight w:val="none"/>
        </w:rPr>
        <w:t>中的国际知名三大世界大学排名指上海交通大学世界一流大学研究中心研究发布的世界大学学术排名（ARWU）、国际高等教育研究机构Quacquarelli Symonds发布的QS世界大学排名和《泰晤士高等教育》（Times Higher Education）发布的THE世界大学排名。</w:t>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
    <w:altName w:val="仿宋"/>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1F901"/>
    <w:multiLevelType w:val="singleLevel"/>
    <w:tmpl w:val="6011F9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E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2022-04-25T01:39:48Z</dcterms:created>
  <dc:creator>jinhongwang</dc:creator>
  <cp:lastModifiedBy>血色残阳</cp:lastModifiedBy>
  <dcterms:modified xsi:type="dcterms:W3CDTF">2022-04-25T01:39:58Z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F4D9EDDDFD9248849AA01BAB24760692</vt:lpwstr>
  </property>
</Properties>
</file>